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bookmarkStart w:id="0" w:name="_Toc193024528"/>
      <w:r>
        <w:rPr>
          <w:rFonts w:hint="default" w:ascii="Arial" w:hAnsi="Arial" w:cs="Arial"/>
          <w:b/>
          <w:color w:val="auto"/>
          <w:sz w:val="20"/>
          <w:szCs w:val="20"/>
          <w:highlight w:val="none"/>
          <w:lang w:eastAsia="zh-CN"/>
        </w:rPr>
        <w:t>3GPP TSG-RAN WG4 Meeting # 9</w:t>
      </w:r>
      <w:r>
        <w:rPr>
          <w:rFonts w:hint="default" w:ascii="Arial" w:hAnsi="Arial" w:cs="Arial"/>
          <w:b/>
          <w:color w:val="auto"/>
          <w:sz w:val="20"/>
          <w:szCs w:val="20"/>
          <w:highlight w:val="none"/>
          <w:lang w:val="en-US" w:eastAsia="zh-CN"/>
        </w:rPr>
        <w:t>9</w:t>
      </w:r>
      <w:r>
        <w:rPr>
          <w:rFonts w:hint="default" w:ascii="Arial" w:hAnsi="Arial" w:cs="Arial"/>
          <w:b/>
          <w:color w:val="auto"/>
          <w:sz w:val="20"/>
          <w:szCs w:val="20"/>
          <w:highlight w:val="none"/>
          <w:lang w:eastAsia="zh-CN"/>
        </w:rPr>
        <w:t xml:space="preserve">-e </w:t>
      </w:r>
      <w:r>
        <w:rPr>
          <w:rFonts w:hint="default" w:ascii="Arial" w:hAnsi="Arial" w:cs="Arial"/>
          <w:b/>
          <w:color w:val="auto"/>
          <w:sz w:val="20"/>
          <w:szCs w:val="20"/>
          <w:highlight w:val="none"/>
          <w:lang w:val="en-US" w:eastAsia="zh-CN"/>
        </w:rPr>
        <w:t xml:space="preserve">                                                         </w:t>
      </w:r>
      <w:r>
        <w:rPr>
          <w:rFonts w:hint="eastAsia" w:cs="Arial"/>
          <w:b/>
          <w:color w:val="auto"/>
          <w:sz w:val="20"/>
          <w:szCs w:val="20"/>
          <w:highlight w:val="none"/>
          <w:lang w:val="en-US" w:eastAsia="zh-CN"/>
        </w:rPr>
        <w:t xml:space="preserve">                             </w:t>
      </w:r>
      <w:r>
        <w:rPr>
          <w:rFonts w:hint="default" w:ascii="Arial" w:hAnsi="Arial" w:cs="Arial"/>
          <w:b/>
          <w:color w:val="auto"/>
          <w:sz w:val="20"/>
          <w:szCs w:val="20"/>
          <w:highlight w:val="none"/>
          <w:lang w:val="en-US" w:eastAsia="zh-CN"/>
        </w:rPr>
        <w:t xml:space="preserve">    R4-211043</w:t>
      </w:r>
      <w:r>
        <w:rPr>
          <w:rFonts w:hint="eastAsia" w:cs="Arial"/>
          <w:b/>
          <w:color w:val="auto"/>
          <w:sz w:val="20"/>
          <w:szCs w:val="20"/>
          <w:highlight w:val="none"/>
          <w:lang w:val="en-US" w:eastAsia="zh-CN"/>
        </w:rPr>
        <w:t>4</w:t>
      </w:r>
      <w:bookmarkStart w:id="1" w:name="_GoBack"/>
      <w:bookmarkEnd w:id="1"/>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 xml:space="preserve">Electronic Meeting, </w:t>
      </w:r>
      <w:r>
        <w:rPr>
          <w:rFonts w:hint="default" w:ascii="Arial" w:hAnsi="Arial" w:cs="Arial"/>
          <w:b/>
          <w:color w:val="auto"/>
          <w:sz w:val="20"/>
          <w:szCs w:val="20"/>
          <w:highlight w:val="none"/>
          <w:lang w:val="en-US" w:eastAsia="zh-CN"/>
        </w:rPr>
        <w:t>May</w:t>
      </w:r>
      <w:r>
        <w:rPr>
          <w:rFonts w:hint="default" w:ascii="Arial" w:hAnsi="Arial" w:cs="Arial"/>
          <w:b/>
          <w:color w:val="auto"/>
          <w:sz w:val="20"/>
          <w:szCs w:val="20"/>
          <w:highlight w:val="none"/>
          <w:lang w:eastAsia="zh-CN"/>
        </w:rPr>
        <w:t xml:space="preserve">. </w:t>
      </w:r>
      <w:r>
        <w:rPr>
          <w:rFonts w:hint="default" w:ascii="Arial" w:hAnsi="Arial" w:cs="Arial"/>
          <w:b/>
          <w:color w:val="auto"/>
          <w:sz w:val="20"/>
          <w:szCs w:val="20"/>
          <w:highlight w:val="none"/>
          <w:lang w:val="en-US" w:eastAsia="zh-CN"/>
        </w:rPr>
        <w:t>19</w:t>
      </w:r>
      <w:r>
        <w:rPr>
          <w:rFonts w:hint="default" w:ascii="Arial" w:hAnsi="Arial" w:cs="Arial"/>
          <w:b/>
          <w:color w:val="auto"/>
          <w:sz w:val="20"/>
          <w:szCs w:val="20"/>
          <w:highlight w:val="none"/>
          <w:lang w:eastAsia="zh-CN"/>
        </w:rPr>
        <w:t>-</w:t>
      </w:r>
      <w:r>
        <w:rPr>
          <w:rFonts w:hint="default" w:ascii="Arial" w:hAnsi="Arial" w:cs="Arial"/>
          <w:b/>
          <w:color w:val="auto"/>
          <w:sz w:val="20"/>
          <w:szCs w:val="20"/>
          <w:highlight w:val="none"/>
          <w:lang w:val="en-US" w:eastAsia="zh-CN"/>
        </w:rPr>
        <w:t>May</w:t>
      </w:r>
      <w:r>
        <w:rPr>
          <w:rFonts w:hint="default" w:ascii="Arial" w:hAnsi="Arial" w:cs="Arial"/>
          <w:b/>
          <w:color w:val="auto"/>
          <w:sz w:val="20"/>
          <w:szCs w:val="20"/>
          <w:highlight w:val="none"/>
          <w:lang w:eastAsia="zh-CN"/>
        </w:rPr>
        <w:t xml:space="preserve">. </w:t>
      </w:r>
      <w:r>
        <w:rPr>
          <w:rFonts w:hint="default" w:ascii="Arial" w:hAnsi="Arial" w:cs="Arial"/>
          <w:b/>
          <w:color w:val="auto"/>
          <w:sz w:val="20"/>
          <w:szCs w:val="20"/>
          <w:highlight w:val="none"/>
          <w:lang w:val="en-US" w:eastAsia="zh-CN"/>
        </w:rPr>
        <w:t>27</w:t>
      </w:r>
      <w:r>
        <w:rPr>
          <w:rFonts w:hint="default" w:ascii="Arial" w:hAnsi="Arial" w:cs="Arial"/>
          <w:b/>
          <w:color w:val="auto"/>
          <w:sz w:val="20"/>
          <w:szCs w:val="20"/>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D</w:t>
      </w:r>
      <w:r>
        <w:rPr>
          <w:rFonts w:hint="default" w:ascii="Arial" w:hAnsi="Arial" w:cs="Arial"/>
          <w:b w:val="0"/>
          <w:bCs/>
          <w:color w:val="auto"/>
          <w:sz w:val="20"/>
          <w:szCs w:val="20"/>
        </w:rPr>
        <w:t>iscussion on Max EIRP limit for FR2 ULCA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9.4.2.2.1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last RAN4 #98</w:t>
      </w:r>
      <w:r>
        <w:rPr>
          <w:rFonts w:hint="eastAsia" w:eastAsia="宋体" w:cs="Times New Roman"/>
          <w:i w:val="0"/>
          <w:iCs w:val="0"/>
          <w:color w:val="auto"/>
          <w:sz w:val="20"/>
          <w:szCs w:val="20"/>
          <w:highlight w:val="none"/>
          <w:lang w:val="en-US" w:eastAsia="zh-CN"/>
        </w:rPr>
        <w:t>bis-</w:t>
      </w:r>
      <w:r>
        <w:rPr>
          <w:rFonts w:hint="default" w:ascii="Times New Roman" w:hAnsi="Times New Roman" w:eastAsia="宋体" w:cs="Times New Roman"/>
          <w:i w:val="0"/>
          <w:iCs w:val="0"/>
          <w:color w:val="auto"/>
          <w:sz w:val="20"/>
          <w:szCs w:val="20"/>
          <w:highlight w:val="none"/>
          <w:lang w:val="en-US" w:eastAsia="zh-CN"/>
        </w:rPr>
        <w:t xml:space="preserve">e meeting, </w:t>
      </w:r>
      <w:r>
        <w:rPr>
          <w:rFonts w:hint="eastAsia" w:eastAsia="宋体" w:cs="Times New Roman"/>
          <w:i w:val="0"/>
          <w:iCs w:val="0"/>
          <w:color w:val="auto"/>
          <w:sz w:val="20"/>
          <w:szCs w:val="20"/>
          <w:highlight w:val="none"/>
          <w:lang w:val="en-US" w:eastAsia="zh-CN"/>
        </w:rPr>
        <w:t>w</w:t>
      </w:r>
      <w:r>
        <w:rPr>
          <w:rFonts w:hint="eastAsia" w:ascii="Times New Roman" w:hAnsi="Times New Roman" w:eastAsia="宋体" w:cs="Times New Roman"/>
          <w:i w:val="0"/>
          <w:iCs w:val="0"/>
          <w:color w:val="auto"/>
          <w:sz w:val="20"/>
          <w:szCs w:val="20"/>
          <w:highlight w:val="none"/>
          <w:lang w:val="en-US" w:eastAsia="zh-CN"/>
        </w:rPr>
        <w:t>ay forward on Inter-band UL CA</w:t>
      </w:r>
      <w:r>
        <w:rPr>
          <w:rFonts w:hint="eastAsia" w:eastAsia="宋体" w:cs="Times New Roman"/>
          <w:i w:val="0"/>
          <w:iCs w:val="0"/>
          <w:color w:val="auto"/>
          <w:sz w:val="20"/>
          <w:szCs w:val="20"/>
          <w:highlight w:val="none"/>
          <w:lang w:val="en-US" w:eastAsia="zh-CN"/>
        </w:rPr>
        <w:t>[1] was agreed. One of the issues is how the max. EIRP is applied, i.e. Per UE or Per band, shown as following:</w:t>
      </w:r>
    </w:p>
    <w:p>
      <w:pPr>
        <w:spacing w:after="0"/>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drawing>
          <wp:inline distT="0" distB="0" distL="114300" distR="114300">
            <wp:extent cx="6120130" cy="3387090"/>
            <wp:effectExtent l="0" t="0" r="139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20130" cy="3387090"/>
                    </a:xfrm>
                    <a:prstGeom prst="rect">
                      <a:avLst/>
                    </a:prstGeom>
                    <a:noFill/>
                    <a:ln>
                      <a:noFill/>
                    </a:ln>
                  </pic:spPr>
                </pic:pic>
              </a:graphicData>
            </a:graphic>
          </wp:inline>
        </w:drawing>
      </w:r>
    </w:p>
    <w:p>
      <w:pPr>
        <w:spacing w:after="0"/>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give some discussions on these issues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u w:val="none"/>
          <w:lang w:val="en-US" w:eastAsia="zh-CN"/>
        </w:rPr>
      </w:pPr>
      <w:r>
        <w:rPr>
          <w:rFonts w:hint="eastAsia" w:eastAsia="宋体" w:cs="Times New Roman"/>
          <w:i w:val="0"/>
          <w:iCs w:val="0"/>
          <w:color w:val="auto"/>
          <w:sz w:val="20"/>
          <w:szCs w:val="20"/>
          <w:highlight w:val="none"/>
          <w:u w:val="none"/>
          <w:lang w:val="en-US" w:eastAsia="zh-CN"/>
        </w:rPr>
        <w:t xml:space="preserve">The purpose to introduce the Max. EIRP requirement aims to constrain UL co-channel interference, which is UE </w:t>
      </w:r>
      <w:r>
        <w:rPr>
          <w:rFonts w:hint="default" w:ascii="Times New Roman" w:hAnsi="Times New Roman" w:eastAsia="宋体" w:cs="Times New Roman"/>
          <w:i w:val="0"/>
          <w:iCs w:val="0"/>
          <w:color w:val="auto"/>
          <w:sz w:val="20"/>
          <w:szCs w:val="20"/>
          <w:highlight w:val="none"/>
          <w:u w:val="none"/>
          <w:lang w:val="en-US" w:eastAsia="zh-CN"/>
        </w:rPr>
        <w:t>to achieve as better as possible EIRP performance by implementation improvement without causing additional co-channel interference.</w:t>
      </w:r>
      <w:r>
        <w:rPr>
          <w:rFonts w:hint="eastAsia" w:eastAsia="宋体" w:cs="Times New Roman"/>
          <w:i w:val="0"/>
          <w:iCs w:val="0"/>
          <w:color w:val="auto"/>
          <w:sz w:val="20"/>
          <w:szCs w:val="20"/>
          <w:highlight w:val="none"/>
          <w:u w:val="none"/>
          <w:lang w:val="en-US" w:eastAsia="zh-CN"/>
        </w:rPr>
        <w:t xml:space="preserve"> </w:t>
      </w:r>
      <w:r>
        <w:rPr>
          <w:rFonts w:hint="default" w:ascii="Times New Roman" w:hAnsi="Times New Roman" w:eastAsia="宋体" w:cs="Times New Roman"/>
          <w:i w:val="0"/>
          <w:iCs w:val="0"/>
          <w:color w:val="auto"/>
          <w:sz w:val="20"/>
          <w:szCs w:val="20"/>
          <w:highlight w:val="none"/>
          <w:u w:val="none"/>
          <w:lang w:val="en-US" w:eastAsia="zh-CN"/>
        </w:rPr>
        <w:t>Some countries/regions have regulatory requirement on the maximum allowed EIRP for the mmWave UE. The requirement depends on UE types.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u w:val="none"/>
          <w:lang w:val="en-US" w:eastAsia="zh-CN"/>
        </w:rPr>
      </w:pPr>
      <w:r>
        <w:rPr>
          <w:rFonts w:hint="eastAsia" w:eastAsia="宋体" w:cs="Times New Roman"/>
          <w:i w:val="0"/>
          <w:iCs w:val="0"/>
          <w:color w:val="auto"/>
          <w:sz w:val="20"/>
          <w:szCs w:val="20"/>
          <w:highlight w:val="none"/>
          <w:u w:val="none"/>
          <w:lang w:val="en-US" w:eastAsia="zh-CN"/>
        </w:rPr>
        <w:t>The values in current 38.101-2 come from FCC limits, which are: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color w:val="auto"/>
          <w:sz w:val="20"/>
          <w:szCs w:val="20"/>
          <w:highlight w:val="none"/>
          <w:u w:val="none"/>
          <w:lang w:val="en-US" w:eastAsia="zh-CN"/>
        </w:rPr>
      </w:pPr>
      <w:r>
        <w:rPr>
          <w:rFonts w:hint="default" w:eastAsia="宋体" w:cs="Times New Roman"/>
          <w:i/>
          <w:iCs/>
          <w:color w:val="auto"/>
          <w:sz w:val="20"/>
          <w:szCs w:val="20"/>
          <w:highlight w:val="none"/>
          <w:u w:val="none"/>
          <w:lang w:val="en-US" w:eastAsia="zh-CN"/>
        </w:rPr>
        <w:t>§30.202   Power limits.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color w:val="auto"/>
          <w:sz w:val="20"/>
          <w:szCs w:val="20"/>
          <w:highlight w:val="none"/>
          <w:u w:val="none"/>
          <w:lang w:val="en-US" w:eastAsia="zh-CN"/>
        </w:rPr>
      </w:pPr>
      <w:r>
        <w:rPr>
          <w:rFonts w:hint="default" w:eastAsia="宋体" w:cs="Times New Roman"/>
          <w:i/>
          <w:iCs/>
          <w:color w:val="auto"/>
          <w:sz w:val="20"/>
          <w:szCs w:val="20"/>
          <w:highlight w:val="none"/>
          <w:u w:val="none"/>
          <w:lang w:val="en-US" w:eastAsia="zh-CN"/>
        </w:rPr>
        <w:t>(a) For fixed and base stations operating in connection with mobile systems, the average power of the sum of all antenna elements is limited to an equivalent isotopically radiated power (EIRP) density of +75dBm/100 MHz. For channel bandwidths less than 100 megahertz the EIRP must be reduced proportionally and linearly based on the bandwidth relative to 100 megahertz.</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color w:val="auto"/>
          <w:sz w:val="20"/>
          <w:szCs w:val="20"/>
          <w:highlight w:val="none"/>
          <w:u w:val="none"/>
          <w:lang w:val="en-US" w:eastAsia="zh-CN"/>
        </w:rPr>
      </w:pPr>
      <w:r>
        <w:rPr>
          <w:rFonts w:hint="default" w:eastAsia="宋体" w:cs="Times New Roman"/>
          <w:i/>
          <w:iCs/>
          <w:color w:val="auto"/>
          <w:sz w:val="20"/>
          <w:szCs w:val="20"/>
          <w:highlight w:val="none"/>
          <w:u w:val="none"/>
          <w:lang w:val="en-US" w:eastAsia="zh-CN"/>
        </w:rPr>
        <w:t>(b) For mobile stations, the average power of the sum of all antenna elements is limited to a maximum EIRP of +43 dBm.</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color w:val="auto"/>
          <w:sz w:val="20"/>
          <w:szCs w:val="20"/>
          <w:highlight w:val="none"/>
          <w:u w:val="none"/>
          <w:lang w:val="en-US" w:eastAsia="zh-CN"/>
        </w:rPr>
      </w:pPr>
      <w:r>
        <w:rPr>
          <w:rFonts w:hint="default" w:eastAsia="宋体" w:cs="Times New Roman"/>
          <w:i/>
          <w:iCs/>
          <w:color w:val="auto"/>
          <w:sz w:val="20"/>
          <w:szCs w:val="20"/>
          <w:highlight w:val="none"/>
          <w:u w:val="none"/>
          <w:lang w:val="en-US" w:eastAsia="zh-CN"/>
        </w:rPr>
        <w:t>(c) For transportable stations, as defined in §30.2, the average power of the sum of all antenna elements is limited to a maximum EIRP of +55 dBm.</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color w:val="auto"/>
          <w:sz w:val="20"/>
          <w:szCs w:val="20"/>
          <w:highlight w:val="none"/>
          <w:u w:val="none"/>
          <w:lang w:val="en-US" w:eastAsia="zh-CN"/>
        </w:rPr>
      </w:pPr>
      <w:r>
        <w:rPr>
          <w:rFonts w:hint="default" w:eastAsia="宋体" w:cs="Times New Roman"/>
          <w:i/>
          <w:iCs/>
          <w:color w:val="auto"/>
          <w:sz w:val="20"/>
          <w:szCs w:val="20"/>
          <w:highlight w:val="none"/>
          <w:u w:val="none"/>
          <w:lang w:val="en-US" w:eastAsia="zh-CN"/>
        </w:rPr>
        <w:t>(d) For fixed point-to-point and point-to-multipoint limits see §30.405.</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u w:val="none"/>
          <w:lang w:val="en-US" w:eastAsia="zh-CN"/>
        </w:rPr>
      </w:pPr>
      <w:r>
        <w:rPr>
          <w:rFonts w:hint="eastAsia" w:eastAsia="宋体" w:cs="Times New Roman"/>
          <w:i w:val="0"/>
          <w:iCs w:val="0"/>
          <w:color w:val="auto"/>
          <w:sz w:val="20"/>
          <w:szCs w:val="20"/>
          <w:highlight w:val="none"/>
          <w:u w:val="none"/>
          <w:lang w:val="en-US" w:eastAsia="zh-CN"/>
        </w:rPr>
        <w:t xml:space="preserve">It shall be noted that the above description is for single band operation. For UE supporting inter-band UL CA, we see some feedback for FR2 EIRP specifications for multiband UL CA transmissions in [2], where the fundamental power within each band is subject to the limit.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u w:val="none"/>
          <w:lang w:val="en-US" w:eastAsia="zh-CN"/>
        </w:rPr>
      </w:pPr>
      <w:r>
        <w:rPr>
          <w:rFonts w:hint="eastAsia" w:eastAsia="宋体" w:cs="Times New Roman"/>
          <w:i w:val="0"/>
          <w:iCs w:val="0"/>
          <w:color w:val="auto"/>
          <w:sz w:val="20"/>
          <w:szCs w:val="20"/>
          <w:highlight w:val="none"/>
          <w:u w:val="none"/>
          <w:lang w:val="en-US" w:eastAsia="zh-CN"/>
        </w:rPr>
        <w:t xml:space="preserve">In our understanding, different band has different implementation, such as antenna configuraiton, which means the antenna radiation pattern are different. The EIRP requirement is directional requirement, which is related to the pattern, it may not appropriate to sum of the (linear) EIRP requirements from two bands. Considering this requirements are mainly from the </w:t>
      </w:r>
      <w:r>
        <w:rPr>
          <w:rFonts w:hint="default" w:ascii="Times New Roman" w:hAnsi="Times New Roman" w:eastAsia="宋体" w:cs="Times New Roman"/>
          <w:i w:val="0"/>
          <w:iCs w:val="0"/>
          <w:color w:val="auto"/>
          <w:sz w:val="20"/>
          <w:szCs w:val="20"/>
          <w:highlight w:val="none"/>
          <w:u w:val="none"/>
          <w:lang w:val="en-US" w:eastAsia="zh-CN"/>
        </w:rPr>
        <w:t>regulatory requirement</w:t>
      </w:r>
      <w:r>
        <w:rPr>
          <w:rFonts w:hint="eastAsia" w:eastAsia="宋体" w:cs="Times New Roman"/>
          <w:i w:val="0"/>
          <w:iCs w:val="0"/>
          <w:color w:val="auto"/>
          <w:sz w:val="20"/>
          <w:szCs w:val="20"/>
          <w:highlight w:val="none"/>
          <w:u w:val="none"/>
          <w:lang w:val="en-US" w:eastAsia="zh-CN"/>
        </w:rPr>
        <w:t>, so we think it is reasonable to define the Max. EIRP requirement per band for FR2 UE supporting UL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color w:val="auto"/>
          <w:sz w:val="20"/>
          <w:szCs w:val="20"/>
          <w:highlight w:val="none"/>
          <w:u w:val="none"/>
          <w:lang w:val="en-US" w:eastAsia="zh-CN"/>
        </w:rPr>
      </w:pPr>
      <w:r>
        <w:rPr>
          <w:rFonts w:hint="eastAsia" w:eastAsia="宋体" w:cs="Times New Roman"/>
          <w:b/>
          <w:bCs/>
          <w:i w:val="0"/>
          <w:iCs w:val="0"/>
          <w:color w:val="auto"/>
          <w:sz w:val="20"/>
          <w:szCs w:val="20"/>
          <w:highlight w:val="none"/>
          <w:u w:val="none"/>
          <w:lang w:val="en-US" w:eastAsia="zh-CN"/>
        </w:rPr>
        <w:t xml:space="preserve">Proposal: For UE supporting inter-band UL CA, per band with max EIRP limit of each band set to 43 dBm (PC3/PC4) and 55 dBm (PC1) can be applied.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等线" w:cs="Times New Roman"/>
          <w:sz w:val="20"/>
          <w:lang w:val="en-US" w:eastAsia="zh-CN"/>
        </w:rPr>
      </w:pPr>
      <w:r>
        <w:rPr>
          <w:rFonts w:hint="default" w:ascii="Times New Roman" w:hAnsi="Times New Roman" w:eastAsia="等线" w:cs="Times New Roman"/>
          <w:sz w:val="20"/>
          <w:lang w:val="en-US" w:eastAsia="zh-CN"/>
        </w:rPr>
        <w:t xml:space="preserve">In this contribution, we </w:t>
      </w:r>
      <w:r>
        <w:rPr>
          <w:rFonts w:hint="default" w:ascii="Times New Roman" w:hAnsi="Times New Roman" w:eastAsia="宋体" w:cs="Times New Roman"/>
          <w:i w:val="0"/>
          <w:iCs w:val="0"/>
          <w:color w:val="auto"/>
          <w:sz w:val="20"/>
          <w:szCs w:val="20"/>
          <w:highlight w:val="none"/>
          <w:lang w:val="en-US" w:eastAsia="zh-CN"/>
        </w:rPr>
        <w:t>give some discussions on</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the</w:t>
      </w:r>
      <w:r>
        <w:rPr>
          <w:rFonts w:hint="default" w:ascii="Times New Roman" w:hAnsi="Times New Roman" w:eastAsia="等线" w:cs="Times New Roman"/>
          <w:sz w:val="20"/>
          <w:lang w:val="en-US" w:eastAsia="zh-CN"/>
        </w:rPr>
        <w:t xml:space="preserve"> </w:t>
      </w:r>
      <w:r>
        <w:rPr>
          <w:rFonts w:hint="eastAsia" w:eastAsia="宋体" w:cs="Times New Roman"/>
          <w:i w:val="0"/>
          <w:iCs w:val="0"/>
          <w:color w:val="auto"/>
          <w:sz w:val="20"/>
          <w:szCs w:val="20"/>
          <w:highlight w:val="none"/>
          <w:lang w:val="en-US" w:eastAsia="zh-CN"/>
        </w:rPr>
        <w:t>max. EIRP for UE supporting inter-band UL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color w:val="auto"/>
          <w:sz w:val="20"/>
          <w:szCs w:val="20"/>
          <w:highlight w:val="none"/>
          <w:u w:val="none"/>
          <w:lang w:val="en-US" w:eastAsia="zh-CN"/>
        </w:rPr>
      </w:pPr>
      <w:r>
        <w:rPr>
          <w:rFonts w:hint="eastAsia" w:eastAsia="宋体" w:cs="Times New Roman"/>
          <w:b/>
          <w:bCs/>
          <w:i w:val="0"/>
          <w:iCs w:val="0"/>
          <w:color w:val="auto"/>
          <w:sz w:val="20"/>
          <w:szCs w:val="20"/>
          <w:highlight w:val="none"/>
          <w:u w:val="none"/>
          <w:lang w:val="en-US" w:eastAsia="zh-CN"/>
        </w:rPr>
        <w:t xml:space="preserve">Proposal: For UE supporting inter-band UL CA, per band with max EIRP limit of each band set to 43 dBm (PC3/PC4) and 55 dBm (PC1) can be applied.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0"/>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u w:val="none"/>
          <w:lang w:val="en-US" w:eastAsia="zh-CN"/>
        </w:rPr>
      </w:pPr>
      <w:r>
        <w:rPr>
          <w:rFonts w:hint="eastAsia" w:eastAsia="宋体" w:cs="Times New Roman"/>
          <w:i w:val="0"/>
          <w:iCs w:val="0"/>
          <w:color w:val="auto"/>
          <w:sz w:val="20"/>
          <w:szCs w:val="20"/>
          <w:highlight w:val="none"/>
          <w:u w:val="none"/>
          <w:lang w:val="en-US" w:eastAsia="zh-CN"/>
        </w:rPr>
        <w:t>[1] R4-2105393, Way forward on Inter-band UL CA,Samsung, Nokia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u w:val="none"/>
          <w:lang w:val="en-US" w:eastAsia="zh-CN"/>
        </w:rPr>
      </w:pPr>
      <w:r>
        <w:rPr>
          <w:rFonts w:hint="eastAsia" w:eastAsia="宋体" w:cs="Times New Roman"/>
          <w:i w:val="0"/>
          <w:iCs w:val="0"/>
          <w:color w:val="auto"/>
          <w:sz w:val="20"/>
          <w:szCs w:val="20"/>
          <w:highlight w:val="none"/>
          <w:u w:val="none"/>
          <w:lang w:val="en-US" w:eastAsia="zh-CN"/>
        </w:rPr>
        <w:t>[2] R4-2104918, Definition of Max EIRP limit for FR2 ULCA,Qualcomm Incorporated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vertAlign w:val="baseline"/>
          <w:lang w:val="en-US" w:eastAsia="zh-CN"/>
        </w:rPr>
      </w:pPr>
    </w:p>
    <w:p>
      <w:pPr>
        <w:keepNext/>
        <w:keepLines/>
        <w:pageBreakBefore w:val="0"/>
        <w:widowControl/>
        <w:numPr>
          <w:ilvl w:val="-1"/>
          <w:numId w:val="0"/>
        </w:numPr>
        <w:kinsoku/>
        <w:wordWrap/>
        <w:overflowPunct/>
        <w:topLinePunct w:val="0"/>
        <w:autoSpaceDE/>
        <w:autoSpaceDN/>
        <w:bidi w:val="0"/>
        <w:adjustRightInd/>
        <w:snapToGrid/>
        <w:spacing w:after="120"/>
        <w:ind w:left="1985" w:leftChars="0" w:hanging="1985"/>
        <w:textAlignment w:val="auto"/>
        <w:outlineLvl w:val="9"/>
        <w:rPr>
          <w:rFonts w:hint="default" w:ascii="Arial" w:hAnsi="Arial" w:eastAsia="宋体" w:cs="Arial"/>
          <w:b w:val="0"/>
          <w:bCs w:val="0"/>
          <w:color w:val="auto"/>
          <w:sz w:val="20"/>
          <w:szCs w:val="20"/>
          <w:highlight w:val="none"/>
          <w:vertAlign w:val="baseline"/>
          <w:lang w:val="en-US" w:eastAsia="zh-CN"/>
        </w:rPr>
      </w:pPr>
    </w:p>
    <w:p>
      <w:pPr>
        <w:keepNext/>
        <w:keepLines/>
        <w:pageBreakBefore w:val="0"/>
        <w:widowControl/>
        <w:numPr>
          <w:ilvl w:val="-1"/>
          <w:numId w:val="0"/>
        </w:numPr>
        <w:kinsoku/>
        <w:wordWrap/>
        <w:overflowPunct/>
        <w:topLinePunct w:val="0"/>
        <w:autoSpaceDE/>
        <w:autoSpaceDN/>
        <w:bidi w:val="0"/>
        <w:adjustRightInd/>
        <w:snapToGrid/>
        <w:spacing w:after="120"/>
        <w:ind w:left="1985" w:leftChars="0" w:hanging="1985"/>
        <w:textAlignment w:val="auto"/>
        <w:outlineLvl w:val="9"/>
        <w:rPr>
          <w:rFonts w:hint="eastAsia" w:ascii="Arial" w:hAnsi="Arial" w:eastAsia="宋体" w:cs="Arial"/>
          <w:b w:val="0"/>
          <w:bCs w:val="0"/>
          <w:color w:val="auto"/>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D4F3F"/>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3133F"/>
    <w:rsid w:val="01F4272E"/>
    <w:rsid w:val="01F61B27"/>
    <w:rsid w:val="01FB375F"/>
    <w:rsid w:val="01FB73D0"/>
    <w:rsid w:val="01FC180E"/>
    <w:rsid w:val="020014A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E4457"/>
    <w:rsid w:val="02750052"/>
    <w:rsid w:val="027837DE"/>
    <w:rsid w:val="02786828"/>
    <w:rsid w:val="027C24F6"/>
    <w:rsid w:val="028575FB"/>
    <w:rsid w:val="028909D6"/>
    <w:rsid w:val="02916404"/>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E6309"/>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1FE7"/>
    <w:rsid w:val="032D3872"/>
    <w:rsid w:val="03337AA5"/>
    <w:rsid w:val="033F4641"/>
    <w:rsid w:val="033F720D"/>
    <w:rsid w:val="034172CD"/>
    <w:rsid w:val="03447417"/>
    <w:rsid w:val="03507EAD"/>
    <w:rsid w:val="03584D66"/>
    <w:rsid w:val="035A42AE"/>
    <w:rsid w:val="035A62F4"/>
    <w:rsid w:val="035C6E35"/>
    <w:rsid w:val="035D19F8"/>
    <w:rsid w:val="035D4AE1"/>
    <w:rsid w:val="035D6D2F"/>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CE2B9C"/>
    <w:rsid w:val="03D37304"/>
    <w:rsid w:val="03D443A4"/>
    <w:rsid w:val="03D50398"/>
    <w:rsid w:val="03D56517"/>
    <w:rsid w:val="03DD1F73"/>
    <w:rsid w:val="03E0353C"/>
    <w:rsid w:val="03E23027"/>
    <w:rsid w:val="03E311A7"/>
    <w:rsid w:val="03E43C7E"/>
    <w:rsid w:val="03EA2C5B"/>
    <w:rsid w:val="03EA5C1E"/>
    <w:rsid w:val="03ED2F1F"/>
    <w:rsid w:val="03F00DB3"/>
    <w:rsid w:val="03F42BA3"/>
    <w:rsid w:val="03F71248"/>
    <w:rsid w:val="03FC6EFD"/>
    <w:rsid w:val="040040AF"/>
    <w:rsid w:val="040639BD"/>
    <w:rsid w:val="040908D2"/>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6775CE"/>
    <w:rsid w:val="046A7675"/>
    <w:rsid w:val="04740CAB"/>
    <w:rsid w:val="047C7418"/>
    <w:rsid w:val="047F211F"/>
    <w:rsid w:val="04921B49"/>
    <w:rsid w:val="049377A7"/>
    <w:rsid w:val="04970C3A"/>
    <w:rsid w:val="04A63DE5"/>
    <w:rsid w:val="04AD5427"/>
    <w:rsid w:val="04B31C9E"/>
    <w:rsid w:val="04B773EC"/>
    <w:rsid w:val="04CE5DAA"/>
    <w:rsid w:val="04D06A94"/>
    <w:rsid w:val="04D822DA"/>
    <w:rsid w:val="04DD55E3"/>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74C58"/>
    <w:rsid w:val="059E20A2"/>
    <w:rsid w:val="05A61B3E"/>
    <w:rsid w:val="05A77370"/>
    <w:rsid w:val="05B944F9"/>
    <w:rsid w:val="05CE76FB"/>
    <w:rsid w:val="05D503B8"/>
    <w:rsid w:val="05D5527A"/>
    <w:rsid w:val="05D679BE"/>
    <w:rsid w:val="05D93F31"/>
    <w:rsid w:val="05D96B45"/>
    <w:rsid w:val="05DD5E93"/>
    <w:rsid w:val="05DE43E0"/>
    <w:rsid w:val="05DF563A"/>
    <w:rsid w:val="05E11CE0"/>
    <w:rsid w:val="05E72ED3"/>
    <w:rsid w:val="05EA6FC1"/>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47CAD"/>
    <w:rsid w:val="069561E9"/>
    <w:rsid w:val="069A1A61"/>
    <w:rsid w:val="069B6E98"/>
    <w:rsid w:val="069C44CD"/>
    <w:rsid w:val="06AB1DFD"/>
    <w:rsid w:val="06AB26A7"/>
    <w:rsid w:val="06B74133"/>
    <w:rsid w:val="06B8340B"/>
    <w:rsid w:val="06C31A1F"/>
    <w:rsid w:val="06C453F9"/>
    <w:rsid w:val="06C62533"/>
    <w:rsid w:val="06C82DD0"/>
    <w:rsid w:val="06CB06AF"/>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4B79A8"/>
    <w:rsid w:val="085053EE"/>
    <w:rsid w:val="085054DE"/>
    <w:rsid w:val="085508F5"/>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497338"/>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41848"/>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4E2F71"/>
    <w:rsid w:val="0B5355EB"/>
    <w:rsid w:val="0B581A82"/>
    <w:rsid w:val="0B62077D"/>
    <w:rsid w:val="0B6268CE"/>
    <w:rsid w:val="0B633BD1"/>
    <w:rsid w:val="0B67076C"/>
    <w:rsid w:val="0B674BD0"/>
    <w:rsid w:val="0B6A4660"/>
    <w:rsid w:val="0B6B2BC3"/>
    <w:rsid w:val="0B6C09A7"/>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26D50"/>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8695D"/>
    <w:rsid w:val="0C7F5547"/>
    <w:rsid w:val="0C8007C4"/>
    <w:rsid w:val="0C88242D"/>
    <w:rsid w:val="0C885428"/>
    <w:rsid w:val="0C890FD6"/>
    <w:rsid w:val="0C916726"/>
    <w:rsid w:val="0C943D4F"/>
    <w:rsid w:val="0C95588B"/>
    <w:rsid w:val="0C9660F9"/>
    <w:rsid w:val="0C985710"/>
    <w:rsid w:val="0C991EF7"/>
    <w:rsid w:val="0C9B2D68"/>
    <w:rsid w:val="0CA4698B"/>
    <w:rsid w:val="0CA82CB9"/>
    <w:rsid w:val="0CAB29E1"/>
    <w:rsid w:val="0CAC5333"/>
    <w:rsid w:val="0CB074BC"/>
    <w:rsid w:val="0CB607E1"/>
    <w:rsid w:val="0CB76AF5"/>
    <w:rsid w:val="0CBA35F2"/>
    <w:rsid w:val="0CBD71E9"/>
    <w:rsid w:val="0CC15B44"/>
    <w:rsid w:val="0CC3200E"/>
    <w:rsid w:val="0CCC32E0"/>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27776"/>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32AB2"/>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2D13EB"/>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802E6"/>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D319A"/>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017A"/>
    <w:rsid w:val="112103C5"/>
    <w:rsid w:val="11223E45"/>
    <w:rsid w:val="1125568E"/>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7E239B"/>
    <w:rsid w:val="118372EE"/>
    <w:rsid w:val="11864C3B"/>
    <w:rsid w:val="118E089C"/>
    <w:rsid w:val="119120CB"/>
    <w:rsid w:val="119305C0"/>
    <w:rsid w:val="11943F1E"/>
    <w:rsid w:val="1197723B"/>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A57B3"/>
    <w:rsid w:val="126B3428"/>
    <w:rsid w:val="127B706D"/>
    <w:rsid w:val="127C1D27"/>
    <w:rsid w:val="127D11AD"/>
    <w:rsid w:val="12822706"/>
    <w:rsid w:val="12835AED"/>
    <w:rsid w:val="128A0F8D"/>
    <w:rsid w:val="128E3209"/>
    <w:rsid w:val="12A53CFF"/>
    <w:rsid w:val="12A9605F"/>
    <w:rsid w:val="12AF442E"/>
    <w:rsid w:val="12B21F52"/>
    <w:rsid w:val="12B32A37"/>
    <w:rsid w:val="12B931BE"/>
    <w:rsid w:val="12C20883"/>
    <w:rsid w:val="12C20B9F"/>
    <w:rsid w:val="12CB538A"/>
    <w:rsid w:val="12CD1DC9"/>
    <w:rsid w:val="12D43973"/>
    <w:rsid w:val="12D62B58"/>
    <w:rsid w:val="12E27109"/>
    <w:rsid w:val="12E77AD7"/>
    <w:rsid w:val="12E94E33"/>
    <w:rsid w:val="12EA0359"/>
    <w:rsid w:val="12F03E48"/>
    <w:rsid w:val="12F77784"/>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C3E85"/>
    <w:rsid w:val="14D224D0"/>
    <w:rsid w:val="14E1264D"/>
    <w:rsid w:val="14E4266E"/>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075BE"/>
    <w:rsid w:val="15A50240"/>
    <w:rsid w:val="15A730AB"/>
    <w:rsid w:val="15AA3264"/>
    <w:rsid w:val="15B0182F"/>
    <w:rsid w:val="15B10F22"/>
    <w:rsid w:val="15B27CF5"/>
    <w:rsid w:val="15B3688A"/>
    <w:rsid w:val="15BD3CA1"/>
    <w:rsid w:val="15BE5020"/>
    <w:rsid w:val="15C3766C"/>
    <w:rsid w:val="15C44867"/>
    <w:rsid w:val="15C47F25"/>
    <w:rsid w:val="15D46B42"/>
    <w:rsid w:val="15D916B7"/>
    <w:rsid w:val="15E2342D"/>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342D2"/>
    <w:rsid w:val="16414828"/>
    <w:rsid w:val="164456D7"/>
    <w:rsid w:val="164E13D0"/>
    <w:rsid w:val="16502B8D"/>
    <w:rsid w:val="165465C7"/>
    <w:rsid w:val="165524AC"/>
    <w:rsid w:val="16553CFC"/>
    <w:rsid w:val="16622576"/>
    <w:rsid w:val="166E2E44"/>
    <w:rsid w:val="16746FF8"/>
    <w:rsid w:val="167652D1"/>
    <w:rsid w:val="167B3F35"/>
    <w:rsid w:val="167B4CFE"/>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A92D85"/>
    <w:rsid w:val="17B00BE9"/>
    <w:rsid w:val="17B9668F"/>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1320C"/>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D63CE"/>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E3FFF"/>
    <w:rsid w:val="1BC153A7"/>
    <w:rsid w:val="1BC57256"/>
    <w:rsid w:val="1BCD51FC"/>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C946E0"/>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E5848"/>
    <w:rsid w:val="1D3F04B1"/>
    <w:rsid w:val="1D4511CA"/>
    <w:rsid w:val="1D472010"/>
    <w:rsid w:val="1D4804FB"/>
    <w:rsid w:val="1D537970"/>
    <w:rsid w:val="1D560A9B"/>
    <w:rsid w:val="1D5B0EB0"/>
    <w:rsid w:val="1D5D4A37"/>
    <w:rsid w:val="1D5F61E4"/>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4636A4"/>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921A8"/>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0D1B"/>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AE3795"/>
    <w:rsid w:val="1FAF489E"/>
    <w:rsid w:val="1FB15F08"/>
    <w:rsid w:val="1FBB3739"/>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72300"/>
    <w:rsid w:val="209A3615"/>
    <w:rsid w:val="209C1DD3"/>
    <w:rsid w:val="20A0289C"/>
    <w:rsid w:val="20B144B3"/>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64409"/>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74406"/>
    <w:rsid w:val="223C191A"/>
    <w:rsid w:val="223F5B17"/>
    <w:rsid w:val="22426E3C"/>
    <w:rsid w:val="22446B35"/>
    <w:rsid w:val="22470F04"/>
    <w:rsid w:val="224E7D56"/>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9150BB"/>
    <w:rsid w:val="2294048A"/>
    <w:rsid w:val="229A472F"/>
    <w:rsid w:val="22A76E5F"/>
    <w:rsid w:val="22AE201B"/>
    <w:rsid w:val="22AF27D5"/>
    <w:rsid w:val="22B16E50"/>
    <w:rsid w:val="22B414AA"/>
    <w:rsid w:val="22B41D89"/>
    <w:rsid w:val="22B60E4E"/>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717C9"/>
    <w:rsid w:val="2368717E"/>
    <w:rsid w:val="236D757A"/>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CA3C3E"/>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0ACA"/>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1003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26767"/>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1605D"/>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3747D"/>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27107"/>
    <w:rsid w:val="27662EEA"/>
    <w:rsid w:val="27670DEF"/>
    <w:rsid w:val="277342FE"/>
    <w:rsid w:val="2773577D"/>
    <w:rsid w:val="27777E23"/>
    <w:rsid w:val="277B02C6"/>
    <w:rsid w:val="27821D9C"/>
    <w:rsid w:val="27860B41"/>
    <w:rsid w:val="278A7676"/>
    <w:rsid w:val="278E0A47"/>
    <w:rsid w:val="278E2D37"/>
    <w:rsid w:val="279121D8"/>
    <w:rsid w:val="2794232D"/>
    <w:rsid w:val="27A60643"/>
    <w:rsid w:val="27A72D26"/>
    <w:rsid w:val="27A9577A"/>
    <w:rsid w:val="27B40B8B"/>
    <w:rsid w:val="27BB7D18"/>
    <w:rsid w:val="27BF2614"/>
    <w:rsid w:val="27C91DCF"/>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4585C"/>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4DC0"/>
    <w:rsid w:val="2924662A"/>
    <w:rsid w:val="29274AB5"/>
    <w:rsid w:val="29291E56"/>
    <w:rsid w:val="292C29EC"/>
    <w:rsid w:val="29304A2C"/>
    <w:rsid w:val="293748E7"/>
    <w:rsid w:val="29487161"/>
    <w:rsid w:val="294966A8"/>
    <w:rsid w:val="294C7571"/>
    <w:rsid w:val="294E1304"/>
    <w:rsid w:val="294E505B"/>
    <w:rsid w:val="29522EF8"/>
    <w:rsid w:val="29532B1A"/>
    <w:rsid w:val="29566262"/>
    <w:rsid w:val="29566743"/>
    <w:rsid w:val="295709E8"/>
    <w:rsid w:val="2958159E"/>
    <w:rsid w:val="296367A1"/>
    <w:rsid w:val="29673530"/>
    <w:rsid w:val="296D549E"/>
    <w:rsid w:val="296F7076"/>
    <w:rsid w:val="29715025"/>
    <w:rsid w:val="297D4711"/>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27C5"/>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B5893"/>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95873"/>
    <w:rsid w:val="2B8E4C11"/>
    <w:rsid w:val="2B9967D6"/>
    <w:rsid w:val="2B9C7241"/>
    <w:rsid w:val="2BA01AB2"/>
    <w:rsid w:val="2BA1091C"/>
    <w:rsid w:val="2BA326B6"/>
    <w:rsid w:val="2BA4061C"/>
    <w:rsid w:val="2BA519F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95A18"/>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6618B"/>
    <w:rsid w:val="2E1931E7"/>
    <w:rsid w:val="2E1F4650"/>
    <w:rsid w:val="2E281711"/>
    <w:rsid w:val="2E3656F1"/>
    <w:rsid w:val="2E421513"/>
    <w:rsid w:val="2E4222B5"/>
    <w:rsid w:val="2E44329B"/>
    <w:rsid w:val="2E495B3D"/>
    <w:rsid w:val="2E525201"/>
    <w:rsid w:val="2E540FD3"/>
    <w:rsid w:val="2E5962C8"/>
    <w:rsid w:val="2E596301"/>
    <w:rsid w:val="2E596FC7"/>
    <w:rsid w:val="2E5A68F4"/>
    <w:rsid w:val="2E5D1B8D"/>
    <w:rsid w:val="2E5F40D2"/>
    <w:rsid w:val="2E603C24"/>
    <w:rsid w:val="2E625789"/>
    <w:rsid w:val="2E63294B"/>
    <w:rsid w:val="2E674A9C"/>
    <w:rsid w:val="2E6B30C9"/>
    <w:rsid w:val="2E6B37B5"/>
    <w:rsid w:val="2E731D91"/>
    <w:rsid w:val="2E741685"/>
    <w:rsid w:val="2E825277"/>
    <w:rsid w:val="2E8A073B"/>
    <w:rsid w:val="2E8C1999"/>
    <w:rsid w:val="2E8D13AF"/>
    <w:rsid w:val="2E904A8A"/>
    <w:rsid w:val="2E997981"/>
    <w:rsid w:val="2E9B282A"/>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26A03"/>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87E23"/>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5B2"/>
    <w:rsid w:val="30905A18"/>
    <w:rsid w:val="30A55D26"/>
    <w:rsid w:val="30A852D9"/>
    <w:rsid w:val="30A93DA0"/>
    <w:rsid w:val="30AA183B"/>
    <w:rsid w:val="30AB7B68"/>
    <w:rsid w:val="30B001DD"/>
    <w:rsid w:val="30B11949"/>
    <w:rsid w:val="30B47501"/>
    <w:rsid w:val="30B73C0E"/>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7A5F6E"/>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7F7F4C"/>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01EA3"/>
    <w:rsid w:val="333221B2"/>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45B43"/>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5F642A"/>
    <w:rsid w:val="35610626"/>
    <w:rsid w:val="35637F84"/>
    <w:rsid w:val="356765EC"/>
    <w:rsid w:val="35740044"/>
    <w:rsid w:val="3576224E"/>
    <w:rsid w:val="35791A73"/>
    <w:rsid w:val="357B16BE"/>
    <w:rsid w:val="357C5321"/>
    <w:rsid w:val="357D1145"/>
    <w:rsid w:val="35805998"/>
    <w:rsid w:val="358111E8"/>
    <w:rsid w:val="35815193"/>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B487D"/>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93684"/>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2E34EF"/>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952D0A"/>
    <w:rsid w:val="39A04307"/>
    <w:rsid w:val="39A703A5"/>
    <w:rsid w:val="39AC6518"/>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A4BC0"/>
    <w:rsid w:val="3A1C5DFA"/>
    <w:rsid w:val="3A1D4E9A"/>
    <w:rsid w:val="3A1E5C85"/>
    <w:rsid w:val="3A227A56"/>
    <w:rsid w:val="3A245807"/>
    <w:rsid w:val="3A2A7209"/>
    <w:rsid w:val="3A3325F3"/>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129D6"/>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0E4C"/>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47598"/>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868BA"/>
    <w:rsid w:val="3D2A3034"/>
    <w:rsid w:val="3D2E364F"/>
    <w:rsid w:val="3D330529"/>
    <w:rsid w:val="3D350B20"/>
    <w:rsid w:val="3D392003"/>
    <w:rsid w:val="3D416EA9"/>
    <w:rsid w:val="3D465130"/>
    <w:rsid w:val="3D4A120B"/>
    <w:rsid w:val="3D4E3E7A"/>
    <w:rsid w:val="3D4E400A"/>
    <w:rsid w:val="3D5549C8"/>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2279CB"/>
    <w:rsid w:val="3E2B0F56"/>
    <w:rsid w:val="3E315C9A"/>
    <w:rsid w:val="3E3232D4"/>
    <w:rsid w:val="3E3559AD"/>
    <w:rsid w:val="3E376525"/>
    <w:rsid w:val="3E3C0B32"/>
    <w:rsid w:val="3E465299"/>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E4EB2"/>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69B3"/>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45CBE"/>
    <w:rsid w:val="42197C91"/>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C41D8"/>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67CDF"/>
    <w:rsid w:val="433E6455"/>
    <w:rsid w:val="434425F8"/>
    <w:rsid w:val="434461A7"/>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82A2C"/>
    <w:rsid w:val="43DF4BED"/>
    <w:rsid w:val="43E722A3"/>
    <w:rsid w:val="43EE0AA9"/>
    <w:rsid w:val="43EF62AC"/>
    <w:rsid w:val="43F13345"/>
    <w:rsid w:val="43F86AD8"/>
    <w:rsid w:val="43F95C99"/>
    <w:rsid w:val="43FA5C03"/>
    <w:rsid w:val="43FC500F"/>
    <w:rsid w:val="43FE7E59"/>
    <w:rsid w:val="44033801"/>
    <w:rsid w:val="44033E9C"/>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A6E2E"/>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15B02"/>
    <w:rsid w:val="46A30A58"/>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5267C"/>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6068F1"/>
    <w:rsid w:val="47641EB1"/>
    <w:rsid w:val="4768463A"/>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0BA1"/>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45227"/>
    <w:rsid w:val="485F4663"/>
    <w:rsid w:val="485F70FF"/>
    <w:rsid w:val="48617739"/>
    <w:rsid w:val="48635EB3"/>
    <w:rsid w:val="486A2830"/>
    <w:rsid w:val="486C5614"/>
    <w:rsid w:val="486C6A8A"/>
    <w:rsid w:val="486E771F"/>
    <w:rsid w:val="48711F85"/>
    <w:rsid w:val="487D49EA"/>
    <w:rsid w:val="488657A1"/>
    <w:rsid w:val="48874B9F"/>
    <w:rsid w:val="488B279E"/>
    <w:rsid w:val="489260B7"/>
    <w:rsid w:val="489D1A1D"/>
    <w:rsid w:val="48A46169"/>
    <w:rsid w:val="48A5233A"/>
    <w:rsid w:val="48B219DC"/>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3C5028"/>
    <w:rsid w:val="49403057"/>
    <w:rsid w:val="49407EF1"/>
    <w:rsid w:val="4942210A"/>
    <w:rsid w:val="49436453"/>
    <w:rsid w:val="49442EDC"/>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07CE3"/>
    <w:rsid w:val="49E11966"/>
    <w:rsid w:val="49E16086"/>
    <w:rsid w:val="49EB78E5"/>
    <w:rsid w:val="49EE2D6D"/>
    <w:rsid w:val="49F1304C"/>
    <w:rsid w:val="49F40FD5"/>
    <w:rsid w:val="49FB30D5"/>
    <w:rsid w:val="49FE1F4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80146"/>
    <w:rsid w:val="4B7D65E4"/>
    <w:rsid w:val="4B800228"/>
    <w:rsid w:val="4B83536F"/>
    <w:rsid w:val="4B895755"/>
    <w:rsid w:val="4B897210"/>
    <w:rsid w:val="4B8E440D"/>
    <w:rsid w:val="4B8F2E52"/>
    <w:rsid w:val="4B8F4628"/>
    <w:rsid w:val="4B92041C"/>
    <w:rsid w:val="4BA42BD9"/>
    <w:rsid w:val="4BAE122E"/>
    <w:rsid w:val="4BBC02D7"/>
    <w:rsid w:val="4BC12B18"/>
    <w:rsid w:val="4BC61DC5"/>
    <w:rsid w:val="4BC63121"/>
    <w:rsid w:val="4BD20C60"/>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353BB"/>
    <w:rsid w:val="4C756015"/>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0BC4"/>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2312A"/>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76D4A"/>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66564"/>
    <w:rsid w:val="4EA73AB0"/>
    <w:rsid w:val="4EA84426"/>
    <w:rsid w:val="4EAB217A"/>
    <w:rsid w:val="4EB52137"/>
    <w:rsid w:val="4EB73E2F"/>
    <w:rsid w:val="4EBB65E7"/>
    <w:rsid w:val="4EBF2C53"/>
    <w:rsid w:val="4EC51408"/>
    <w:rsid w:val="4EC96A14"/>
    <w:rsid w:val="4ECA712B"/>
    <w:rsid w:val="4ECB6487"/>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34F8A"/>
    <w:rsid w:val="4F14132F"/>
    <w:rsid w:val="4F163FBA"/>
    <w:rsid w:val="4F195EE2"/>
    <w:rsid w:val="4F1B2E4E"/>
    <w:rsid w:val="4F2E277A"/>
    <w:rsid w:val="4F327290"/>
    <w:rsid w:val="4F3A1522"/>
    <w:rsid w:val="4F3A454E"/>
    <w:rsid w:val="4F3D2661"/>
    <w:rsid w:val="4F3E4567"/>
    <w:rsid w:val="4F40787D"/>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04F02"/>
    <w:rsid w:val="51236E17"/>
    <w:rsid w:val="513762B1"/>
    <w:rsid w:val="513A408B"/>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60530"/>
    <w:rsid w:val="53175A27"/>
    <w:rsid w:val="531A0591"/>
    <w:rsid w:val="531C47D1"/>
    <w:rsid w:val="531E6EA3"/>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25A76"/>
    <w:rsid w:val="536833D0"/>
    <w:rsid w:val="5369043F"/>
    <w:rsid w:val="536F406D"/>
    <w:rsid w:val="537156E1"/>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35AE2"/>
    <w:rsid w:val="540A030F"/>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5B16"/>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D073F"/>
    <w:rsid w:val="549046E8"/>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50FE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E002D"/>
    <w:rsid w:val="55B66D2E"/>
    <w:rsid w:val="55BA46DC"/>
    <w:rsid w:val="55BB1464"/>
    <w:rsid w:val="55BE303B"/>
    <w:rsid w:val="55CE7D50"/>
    <w:rsid w:val="55E71247"/>
    <w:rsid w:val="55F13216"/>
    <w:rsid w:val="55F53DC2"/>
    <w:rsid w:val="55FB38C2"/>
    <w:rsid w:val="55FB4CD1"/>
    <w:rsid w:val="56053A66"/>
    <w:rsid w:val="56062FC0"/>
    <w:rsid w:val="5607603D"/>
    <w:rsid w:val="560B7B72"/>
    <w:rsid w:val="560C7E69"/>
    <w:rsid w:val="56154A4C"/>
    <w:rsid w:val="561F640A"/>
    <w:rsid w:val="56215F3C"/>
    <w:rsid w:val="562E3095"/>
    <w:rsid w:val="563249DB"/>
    <w:rsid w:val="563C5D74"/>
    <w:rsid w:val="563D4E7F"/>
    <w:rsid w:val="56416CC2"/>
    <w:rsid w:val="56490EFC"/>
    <w:rsid w:val="564B4F7F"/>
    <w:rsid w:val="564E1154"/>
    <w:rsid w:val="565209A5"/>
    <w:rsid w:val="565F174D"/>
    <w:rsid w:val="565F55DF"/>
    <w:rsid w:val="566140E8"/>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E37AA"/>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807D67"/>
    <w:rsid w:val="57862B6B"/>
    <w:rsid w:val="57903B7D"/>
    <w:rsid w:val="579337A7"/>
    <w:rsid w:val="579552C5"/>
    <w:rsid w:val="57994242"/>
    <w:rsid w:val="57996711"/>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548AC"/>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61524"/>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65BD1"/>
    <w:rsid w:val="5BAA1566"/>
    <w:rsid w:val="5BAB3CDE"/>
    <w:rsid w:val="5BAC5FEF"/>
    <w:rsid w:val="5BAC660D"/>
    <w:rsid w:val="5BB90A97"/>
    <w:rsid w:val="5BC80573"/>
    <w:rsid w:val="5BC973B5"/>
    <w:rsid w:val="5BCC4604"/>
    <w:rsid w:val="5BD17E46"/>
    <w:rsid w:val="5BD2246D"/>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223C5"/>
    <w:rsid w:val="5CB34991"/>
    <w:rsid w:val="5CB70F5B"/>
    <w:rsid w:val="5CBE6A7F"/>
    <w:rsid w:val="5CC03AD8"/>
    <w:rsid w:val="5CC13B5F"/>
    <w:rsid w:val="5CC350B6"/>
    <w:rsid w:val="5CC37205"/>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83AB4"/>
    <w:rsid w:val="5E1B4A6C"/>
    <w:rsid w:val="5E1C61EC"/>
    <w:rsid w:val="5E227D62"/>
    <w:rsid w:val="5E2324C4"/>
    <w:rsid w:val="5E2720CA"/>
    <w:rsid w:val="5E2C695E"/>
    <w:rsid w:val="5E3324A1"/>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16459"/>
    <w:rsid w:val="5F025A60"/>
    <w:rsid w:val="5F033611"/>
    <w:rsid w:val="5F051F6F"/>
    <w:rsid w:val="5F0538D5"/>
    <w:rsid w:val="5F074075"/>
    <w:rsid w:val="5F0B74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53448"/>
    <w:rsid w:val="5FD91C36"/>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457A2"/>
    <w:rsid w:val="609542E0"/>
    <w:rsid w:val="60A759FE"/>
    <w:rsid w:val="60B17E63"/>
    <w:rsid w:val="60B40EFB"/>
    <w:rsid w:val="60B42DEF"/>
    <w:rsid w:val="60BA1CFD"/>
    <w:rsid w:val="60BA3688"/>
    <w:rsid w:val="60BE3A10"/>
    <w:rsid w:val="60BE7F1C"/>
    <w:rsid w:val="60C00D53"/>
    <w:rsid w:val="60C41F6D"/>
    <w:rsid w:val="60C66A6E"/>
    <w:rsid w:val="60D44DA5"/>
    <w:rsid w:val="60D72795"/>
    <w:rsid w:val="60D839FF"/>
    <w:rsid w:val="60DB5344"/>
    <w:rsid w:val="60DB6AD7"/>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95324"/>
    <w:rsid w:val="61AA2B1C"/>
    <w:rsid w:val="61B02285"/>
    <w:rsid w:val="61B063D9"/>
    <w:rsid w:val="61BB7507"/>
    <w:rsid w:val="61BD0FD1"/>
    <w:rsid w:val="61C63667"/>
    <w:rsid w:val="61C87849"/>
    <w:rsid w:val="61CA1D42"/>
    <w:rsid w:val="61D033C7"/>
    <w:rsid w:val="61D17660"/>
    <w:rsid w:val="61D2628F"/>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E4340"/>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D3112"/>
    <w:rsid w:val="637F0E1A"/>
    <w:rsid w:val="6380124C"/>
    <w:rsid w:val="63815196"/>
    <w:rsid w:val="6391041C"/>
    <w:rsid w:val="63961D33"/>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5437C"/>
    <w:rsid w:val="64686A65"/>
    <w:rsid w:val="646B3F3E"/>
    <w:rsid w:val="646D1CD3"/>
    <w:rsid w:val="6476698F"/>
    <w:rsid w:val="647B6BF9"/>
    <w:rsid w:val="647D6981"/>
    <w:rsid w:val="647E5324"/>
    <w:rsid w:val="64827BE0"/>
    <w:rsid w:val="649253FB"/>
    <w:rsid w:val="64935771"/>
    <w:rsid w:val="64961FD3"/>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7402F"/>
    <w:rsid w:val="659B3091"/>
    <w:rsid w:val="659F1B33"/>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1E31C9"/>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176D0"/>
    <w:rsid w:val="68AF2BBF"/>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B5C4E"/>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B5F09"/>
    <w:rsid w:val="6B7F2048"/>
    <w:rsid w:val="6B832B21"/>
    <w:rsid w:val="6B867E5C"/>
    <w:rsid w:val="6B88607A"/>
    <w:rsid w:val="6B9150FF"/>
    <w:rsid w:val="6B946BF3"/>
    <w:rsid w:val="6BA2350F"/>
    <w:rsid w:val="6BA31178"/>
    <w:rsid w:val="6BB2108D"/>
    <w:rsid w:val="6BBA4ECD"/>
    <w:rsid w:val="6BD1743B"/>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4E5B18"/>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8F5EC4"/>
    <w:rsid w:val="6D91032E"/>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03BAF"/>
    <w:rsid w:val="6DF12709"/>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31733"/>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54460"/>
    <w:rsid w:val="6F364E6A"/>
    <w:rsid w:val="6F477C73"/>
    <w:rsid w:val="6F494657"/>
    <w:rsid w:val="6F497592"/>
    <w:rsid w:val="6F4F2FDA"/>
    <w:rsid w:val="6F520C5F"/>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A64CE"/>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58237A"/>
    <w:rsid w:val="70691205"/>
    <w:rsid w:val="706B38CF"/>
    <w:rsid w:val="706B49E5"/>
    <w:rsid w:val="706F6FD3"/>
    <w:rsid w:val="70704FB3"/>
    <w:rsid w:val="707118E2"/>
    <w:rsid w:val="707B7148"/>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6311C"/>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B0DF4"/>
    <w:rsid w:val="714D267F"/>
    <w:rsid w:val="71507CEF"/>
    <w:rsid w:val="71524583"/>
    <w:rsid w:val="715455B3"/>
    <w:rsid w:val="71553813"/>
    <w:rsid w:val="715B17FA"/>
    <w:rsid w:val="715C70D7"/>
    <w:rsid w:val="715D4E0B"/>
    <w:rsid w:val="715E557A"/>
    <w:rsid w:val="715F1F9A"/>
    <w:rsid w:val="71690217"/>
    <w:rsid w:val="716A46B9"/>
    <w:rsid w:val="71763AF0"/>
    <w:rsid w:val="717801A9"/>
    <w:rsid w:val="717F36DE"/>
    <w:rsid w:val="718778F2"/>
    <w:rsid w:val="71892B0B"/>
    <w:rsid w:val="71900F77"/>
    <w:rsid w:val="719164BB"/>
    <w:rsid w:val="719F26B9"/>
    <w:rsid w:val="719F30CC"/>
    <w:rsid w:val="71A108F8"/>
    <w:rsid w:val="71A13ADE"/>
    <w:rsid w:val="71A213C4"/>
    <w:rsid w:val="71A46691"/>
    <w:rsid w:val="71A52E27"/>
    <w:rsid w:val="71AA3D22"/>
    <w:rsid w:val="71AD0E11"/>
    <w:rsid w:val="71B033EE"/>
    <w:rsid w:val="71B31E21"/>
    <w:rsid w:val="71B4585C"/>
    <w:rsid w:val="71C305B7"/>
    <w:rsid w:val="71C53AE0"/>
    <w:rsid w:val="71C747CA"/>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F77B4"/>
    <w:rsid w:val="7240698E"/>
    <w:rsid w:val="724B515A"/>
    <w:rsid w:val="72535D9A"/>
    <w:rsid w:val="72560059"/>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DE3857"/>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23B17"/>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DC4BBF"/>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67588"/>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6FF256E"/>
    <w:rsid w:val="77031448"/>
    <w:rsid w:val="77073F43"/>
    <w:rsid w:val="770F3B36"/>
    <w:rsid w:val="771071DC"/>
    <w:rsid w:val="77184032"/>
    <w:rsid w:val="772209CB"/>
    <w:rsid w:val="7723195D"/>
    <w:rsid w:val="772A1315"/>
    <w:rsid w:val="7734235A"/>
    <w:rsid w:val="773C613C"/>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12A13"/>
    <w:rsid w:val="77895393"/>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3C66"/>
    <w:rsid w:val="77CC6CB8"/>
    <w:rsid w:val="77D0780A"/>
    <w:rsid w:val="77D72EC0"/>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277E5"/>
    <w:rsid w:val="784059E3"/>
    <w:rsid w:val="784329E1"/>
    <w:rsid w:val="784451CB"/>
    <w:rsid w:val="785A3795"/>
    <w:rsid w:val="785D3AC6"/>
    <w:rsid w:val="7866580D"/>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B6B70"/>
    <w:rsid w:val="78D23B7E"/>
    <w:rsid w:val="78E10719"/>
    <w:rsid w:val="78F14E36"/>
    <w:rsid w:val="78F70B10"/>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9627F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10250"/>
    <w:rsid w:val="7BE51920"/>
    <w:rsid w:val="7BEC5AB6"/>
    <w:rsid w:val="7BEE02B3"/>
    <w:rsid w:val="7BEE1215"/>
    <w:rsid w:val="7BF47ED6"/>
    <w:rsid w:val="7BF54F0F"/>
    <w:rsid w:val="7BFF3261"/>
    <w:rsid w:val="7C013AFE"/>
    <w:rsid w:val="7C1402F2"/>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96AEA"/>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C745D5"/>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807CD3"/>
    <w:rsid w:val="7E81776E"/>
    <w:rsid w:val="7E827AA6"/>
    <w:rsid w:val="7E8A3193"/>
    <w:rsid w:val="7E8B5F9F"/>
    <w:rsid w:val="7E8C54A3"/>
    <w:rsid w:val="7E8C6F7B"/>
    <w:rsid w:val="7E8F378A"/>
    <w:rsid w:val="7E9056A4"/>
    <w:rsid w:val="7E964E64"/>
    <w:rsid w:val="7EA24829"/>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F5A34"/>
    <w:rsid w:val="7EF040A4"/>
    <w:rsid w:val="7EF230CD"/>
    <w:rsid w:val="7EF47B20"/>
    <w:rsid w:val="7EF81CCE"/>
    <w:rsid w:val="7F04131E"/>
    <w:rsid w:val="7F0F2694"/>
    <w:rsid w:val="7F1535FF"/>
    <w:rsid w:val="7F193139"/>
    <w:rsid w:val="7F2E4452"/>
    <w:rsid w:val="7F3277A1"/>
    <w:rsid w:val="7F33241D"/>
    <w:rsid w:val="7F3B3101"/>
    <w:rsid w:val="7F3B4E97"/>
    <w:rsid w:val="7F3D45CB"/>
    <w:rsid w:val="7F3D5899"/>
    <w:rsid w:val="7F405053"/>
    <w:rsid w:val="7F425F57"/>
    <w:rsid w:val="7F4D6F55"/>
    <w:rsid w:val="7F4E339D"/>
    <w:rsid w:val="7F5410D4"/>
    <w:rsid w:val="7F590744"/>
    <w:rsid w:val="7F5912B6"/>
    <w:rsid w:val="7F591C40"/>
    <w:rsid w:val="7F5E14A3"/>
    <w:rsid w:val="7F6767D5"/>
    <w:rsid w:val="7F6A137F"/>
    <w:rsid w:val="7F6B1D1D"/>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2021-05-11T12:31:06Z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